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1966913" cy="1092729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0927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Patching Party Audit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be completed by an Orthoptist with parent for all patching amblyopia patients.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Please register your Patching Party audit for research purposes with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visibilityleads@orthoptics.org.uk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1: Patient Demographics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Age Group: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☐ 0-3 years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☐ 4-6 years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☐ 7+ years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Gender: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☐ Male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☐ Female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☐ Other/Prefer not to say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Reasonable adjustments: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☐ Additional needs (eg., autism, learning difficulties)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☐ Hearing Impairment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☐ Other (please specify): 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Duration of Amblyopia Treatment: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☐ Less than 6 months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☐ 6-12 months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☐ 1-2 years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☐ 2+ years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2: Patching Therapy Compliance 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How often is the eye patch worn as prescribed?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☐ Always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☐ Most of the time (75-90%)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☐ Sometimes (50-74%)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☐ Rarely (less than 50%)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☐ Never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What is the typical duration of patching each day?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☐ Less than 1 hour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☐ 1-2 hours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☐ 3-4 hours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☐ 6 hours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What was the prescribed duration of patching each day?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☐ Less than 1 hour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☐ 1-2 hours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☐ 3-4 hours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☐ 6 hours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What are the main challenges faced by the patient in adhering to patching?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(Check all that apply)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☐ Discomfort or irritation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☐ Blurry vision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☐ Peer teasing or social stigma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☐ Forgetting to wear the patch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☐ Inconvenience with daily routines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☐ Poor motivation or resistance to treatment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☐ Lack of parental understanding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☐ Other (please specify): 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Have you observed a decline in patching adherence over time?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☐ Yes, significant decline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☐ Yes, slight decline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☐ No change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☐ Improvement in adherence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3: Proposed Patching Party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What types of activities would make a patching party more enjoyable for your child?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(Check all that apply)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☐ Interactive games (e.g., arts and crafts, puzzles)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☐ Social events (e.g., snack time, playtime)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☐ Incentives or rewards for participation (e.g., prizes, certificates, party bags)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☐ Peer support or sharing experiences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☐ Group Question Time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☐ Educational talks (e.g., about the importance of patching therapy)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☐ Story time with large-print books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☐ Other (please specify): ____________________________________________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Would you prefer a virtual patching party or in-person event?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☐ Virtual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☐ In-person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☐ Hybrid (both virtual and in-person options)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Would you be willing to attend a patching party for your child?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☐ Yes, definitely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☐ Maybe, depending on logistics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☐ No, not interested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Would you be happy for your child to be included in photographs/filming of the party for the British and Irish Orthoptic Society to raise awareness of patching and Orthoptics?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☐ Yes, definitely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☐ Maybe, I need further information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☐ No, not interested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Do you have any additional comments or concerns regarding amblyopia treatment or patching parties?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(Optional)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If you would like your child to be invited to an upcoming patching party, please leave your details below: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Child’s Full Name___________________________________________________________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Child’s MRN_______________________________________________________________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Parent Email address________________________________________________________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Best Contact Number________________________________________________________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4924425</wp:posOffset>
          </wp:positionH>
          <wp:positionV relativeFrom="paragraph">
            <wp:posOffset>-342899</wp:posOffset>
          </wp:positionV>
          <wp:extent cx="1633538" cy="91433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3538" cy="914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visibilityleads@orthoptics.org.uk" TargetMode="Externa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